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422" w:rsidRPr="00460422" w:rsidRDefault="00460422" w:rsidP="00460422">
      <w:pPr>
        <w:spacing w:after="0" w:line="240" w:lineRule="auto"/>
        <w:jc w:val="center"/>
        <w:rPr>
          <w:rFonts w:ascii="Arial" w:hAnsi="Arial" w:cs="Arial"/>
          <w:b/>
          <w:sz w:val="28"/>
          <w:lang w:val="it-IT"/>
        </w:rPr>
      </w:pPr>
      <w:r w:rsidRPr="00460422">
        <w:rPr>
          <w:rFonts w:ascii="Arial" w:hAnsi="Arial" w:cs="Arial"/>
          <w:b/>
          <w:sz w:val="28"/>
          <w:lang w:val="it-IT"/>
        </w:rPr>
        <w:t>Agosto</w:t>
      </w:r>
    </w:p>
    <w:p w:rsidR="00460422" w:rsidRPr="00E3059B" w:rsidRDefault="00E3059B" w:rsidP="00460422">
      <w:pPr>
        <w:spacing w:after="0" w:line="240" w:lineRule="auto"/>
        <w:jc w:val="center"/>
        <w:rPr>
          <w:rFonts w:ascii="Arial" w:hAnsi="Arial" w:cs="Arial"/>
          <w:b/>
          <w:sz w:val="24"/>
        </w:rPr>
      </w:pPr>
      <w:hyperlink r:id="rId5" w:history="1">
        <w:r w:rsidR="00460422" w:rsidRPr="00E3059B">
          <w:rPr>
            <w:rStyle w:val="Hipervnculo"/>
            <w:rFonts w:ascii="Arial" w:hAnsi="Arial" w:cs="Arial"/>
            <w:b/>
            <w:sz w:val="24"/>
          </w:rPr>
          <w:t>San Pio X</w:t>
        </w:r>
      </w:hyperlink>
      <w:r w:rsidRPr="00E3059B">
        <w:rPr>
          <w:rFonts w:ascii="Arial" w:hAnsi="Arial" w:cs="Arial"/>
          <w:b/>
          <w:sz w:val="24"/>
        </w:rPr>
        <w:t>, patrono de los catequistas</w:t>
      </w:r>
    </w:p>
    <w:p w:rsidR="00460422" w:rsidRPr="00E3059B" w:rsidRDefault="00460422" w:rsidP="00460422">
      <w:pPr>
        <w:spacing w:after="0" w:line="240" w:lineRule="auto"/>
        <w:jc w:val="both"/>
        <w:rPr>
          <w:rFonts w:ascii="Arial" w:hAnsi="Arial" w:cs="Arial"/>
          <w:sz w:val="24"/>
        </w:rPr>
      </w:pPr>
    </w:p>
    <w:p w:rsidR="00460422" w:rsidRDefault="00460422" w:rsidP="00460422">
      <w:pPr>
        <w:spacing w:after="0" w:line="240" w:lineRule="auto"/>
        <w:jc w:val="both"/>
        <w:rPr>
          <w:rFonts w:ascii="Arial" w:hAnsi="Arial" w:cs="Arial"/>
          <w:sz w:val="24"/>
        </w:rPr>
      </w:pPr>
    </w:p>
    <w:p w:rsidR="00460422" w:rsidRPr="00460422" w:rsidRDefault="00E3059B" w:rsidP="00460422">
      <w:pPr>
        <w:spacing w:after="0" w:line="240" w:lineRule="auto"/>
        <w:jc w:val="both"/>
        <w:rPr>
          <w:rFonts w:ascii="Arial" w:hAnsi="Arial" w:cs="Arial"/>
          <w:sz w:val="24"/>
        </w:rPr>
      </w:pPr>
      <w:r>
        <w:rPr>
          <w:rFonts w:ascii="Arial" w:hAnsi="Arial" w:cs="Arial"/>
          <w:noProof/>
          <w:sz w:val="24"/>
          <w:lang w:eastAsia="es-ES"/>
        </w:rPr>
        <w:drawing>
          <wp:anchor distT="0" distB="0" distL="114300" distR="114300" simplePos="0" relativeHeight="251658240" behindDoc="0" locked="0" layoutInCell="1" allowOverlap="1" wp14:anchorId="55162CE3" wp14:editId="4EC4EED5">
            <wp:simplePos x="0" y="0"/>
            <wp:positionH relativeFrom="column">
              <wp:posOffset>-61595</wp:posOffset>
            </wp:positionH>
            <wp:positionV relativeFrom="paragraph">
              <wp:posOffset>74930</wp:posOffset>
            </wp:positionV>
            <wp:extent cx="1256030" cy="1627505"/>
            <wp:effectExtent l="0" t="0" r="127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6030" cy="1627505"/>
                    </a:xfrm>
                    <a:prstGeom prst="rect">
                      <a:avLst/>
                    </a:prstGeom>
                    <a:noFill/>
                  </pic:spPr>
                </pic:pic>
              </a:graphicData>
            </a:graphic>
            <wp14:sizeRelH relativeFrom="page">
              <wp14:pctWidth>0</wp14:pctWidth>
            </wp14:sizeRelH>
            <wp14:sizeRelV relativeFrom="page">
              <wp14:pctHeight>0</wp14:pctHeight>
            </wp14:sizeRelV>
          </wp:anchor>
        </w:drawing>
      </w:r>
      <w:r w:rsidR="00460422" w:rsidRPr="00460422">
        <w:rPr>
          <w:rFonts w:ascii="Arial" w:hAnsi="Arial" w:cs="Arial"/>
          <w:sz w:val="24"/>
        </w:rPr>
        <w:t xml:space="preserve">Giuseppe </w:t>
      </w:r>
      <w:proofErr w:type="spellStart"/>
      <w:r w:rsidR="00460422" w:rsidRPr="00460422">
        <w:rPr>
          <w:rFonts w:ascii="Arial" w:hAnsi="Arial" w:cs="Arial"/>
          <w:sz w:val="24"/>
        </w:rPr>
        <w:t>Melchiorre</w:t>
      </w:r>
      <w:proofErr w:type="spellEnd"/>
      <w:r w:rsidR="00460422" w:rsidRPr="00460422">
        <w:rPr>
          <w:rFonts w:ascii="Arial" w:hAnsi="Arial" w:cs="Arial"/>
          <w:sz w:val="24"/>
        </w:rPr>
        <w:t xml:space="preserve"> Sarto nació el 2 de Junio de 1835 en Riese, provincia de Treviso, en Venecia. Sus padres fueron Giovanni </w:t>
      </w:r>
      <w:proofErr w:type="spellStart"/>
      <w:r w:rsidR="00460422" w:rsidRPr="00460422">
        <w:rPr>
          <w:rFonts w:ascii="Arial" w:hAnsi="Arial" w:cs="Arial"/>
          <w:sz w:val="24"/>
        </w:rPr>
        <w:t>Battista</w:t>
      </w:r>
      <w:proofErr w:type="spellEnd"/>
      <w:r w:rsidR="00460422" w:rsidRPr="00460422">
        <w:rPr>
          <w:rFonts w:ascii="Arial" w:hAnsi="Arial" w:cs="Arial"/>
          <w:sz w:val="24"/>
        </w:rPr>
        <w:t xml:space="preserve"> Sarto y Margarita </w:t>
      </w:r>
      <w:proofErr w:type="spellStart"/>
      <w:r w:rsidR="00460422" w:rsidRPr="00460422">
        <w:rPr>
          <w:rFonts w:ascii="Arial" w:hAnsi="Arial" w:cs="Arial"/>
          <w:sz w:val="24"/>
        </w:rPr>
        <w:t>Sanson</w:t>
      </w:r>
      <w:proofErr w:type="spellEnd"/>
      <w:r w:rsidR="00460422" w:rsidRPr="00460422">
        <w:rPr>
          <w:rFonts w:ascii="Arial" w:hAnsi="Arial" w:cs="Arial"/>
          <w:sz w:val="24"/>
        </w:rPr>
        <w:t xml:space="preserve">. </w:t>
      </w:r>
    </w:p>
    <w:p w:rsidR="00460422" w:rsidRPr="00460422" w:rsidRDefault="00460422" w:rsidP="00460422">
      <w:pPr>
        <w:spacing w:after="0" w:line="240" w:lineRule="auto"/>
        <w:jc w:val="both"/>
        <w:rPr>
          <w:rFonts w:ascii="Arial" w:hAnsi="Arial" w:cs="Arial"/>
          <w:sz w:val="24"/>
        </w:rPr>
      </w:pPr>
    </w:p>
    <w:p w:rsidR="00460422" w:rsidRPr="00460422" w:rsidRDefault="00460422" w:rsidP="00460422">
      <w:pPr>
        <w:spacing w:after="0" w:line="240" w:lineRule="auto"/>
        <w:jc w:val="both"/>
        <w:rPr>
          <w:rFonts w:ascii="Arial" w:hAnsi="Arial" w:cs="Arial"/>
          <w:sz w:val="24"/>
        </w:rPr>
      </w:pPr>
      <w:r w:rsidRPr="00460422">
        <w:rPr>
          <w:rFonts w:ascii="Arial" w:hAnsi="Arial" w:cs="Arial"/>
          <w:sz w:val="24"/>
        </w:rPr>
        <w:t xml:space="preserve">Luego de terminar sus estudios elementales, recibió clases privadas de latín por parte del arcipreste de su pueblo. En 1850 recibió la tonsura de manos del Obispo de Treviso y obtuvo una beca de la Diócesis de Treviso para estudiar en el seminario de Padua, donde terminó sus estudios filosóficos, teológicos y de los clásicos con honores. Fue ordenado sacerdote en 1858, y durante nueve años fue capellán de Tómbolo. Buscó perfeccionar su conocimiento de la teología a través de un estudio asiduo de Santo Tomás y el derecho canónico; al mismo tiempo estableció una escuela nocturna para la educación de los adultos, y siendo él mismo un ferviente predicador, constantemente era invitado a ejercer este ministerio en otros pueblos. </w:t>
      </w:r>
    </w:p>
    <w:p w:rsidR="00460422" w:rsidRPr="00460422" w:rsidRDefault="00460422" w:rsidP="00460422">
      <w:pPr>
        <w:spacing w:after="0" w:line="240" w:lineRule="auto"/>
        <w:jc w:val="both"/>
        <w:rPr>
          <w:rFonts w:ascii="Arial" w:hAnsi="Arial" w:cs="Arial"/>
          <w:sz w:val="24"/>
        </w:rPr>
      </w:pPr>
    </w:p>
    <w:p w:rsidR="00460422" w:rsidRPr="00460422" w:rsidRDefault="00460422" w:rsidP="00460422">
      <w:pPr>
        <w:spacing w:after="0" w:line="240" w:lineRule="auto"/>
        <w:jc w:val="both"/>
        <w:rPr>
          <w:rFonts w:ascii="Arial" w:hAnsi="Arial" w:cs="Arial"/>
          <w:sz w:val="24"/>
        </w:rPr>
      </w:pPr>
      <w:r w:rsidRPr="00460422">
        <w:rPr>
          <w:rFonts w:ascii="Arial" w:hAnsi="Arial" w:cs="Arial"/>
          <w:sz w:val="24"/>
        </w:rPr>
        <w:t xml:space="preserve">Mostró una gran solicitud por la instrucción religiosa de los adultos. En 1875 creó un reglamento para la catedral de Treviso; ocupó varios cargos, entre ellos, el de director espiritual y rector del seminario, examinador del clero y vicario general; más aún, hizo posible que los estudiantes de escuelas públicas recibieran instrucción religiosa. </w:t>
      </w:r>
    </w:p>
    <w:p w:rsidR="00460422" w:rsidRPr="00460422" w:rsidRDefault="00460422" w:rsidP="00460422">
      <w:pPr>
        <w:spacing w:after="0" w:line="240" w:lineRule="auto"/>
        <w:jc w:val="both"/>
        <w:rPr>
          <w:rFonts w:ascii="Arial" w:hAnsi="Arial" w:cs="Arial"/>
          <w:sz w:val="24"/>
        </w:rPr>
      </w:pPr>
    </w:p>
    <w:p w:rsidR="00460422" w:rsidRDefault="00460422" w:rsidP="00460422">
      <w:pPr>
        <w:spacing w:after="0" w:line="240" w:lineRule="auto"/>
        <w:jc w:val="both"/>
        <w:rPr>
          <w:rFonts w:ascii="Arial" w:hAnsi="Arial" w:cs="Arial"/>
          <w:sz w:val="24"/>
        </w:rPr>
      </w:pPr>
      <w:r w:rsidRPr="00460422">
        <w:rPr>
          <w:rFonts w:ascii="Arial" w:hAnsi="Arial" w:cs="Arial"/>
          <w:sz w:val="24"/>
        </w:rPr>
        <w:t>Pastora Universal</w:t>
      </w:r>
    </w:p>
    <w:p w:rsidR="00460422" w:rsidRPr="00460422" w:rsidRDefault="00460422" w:rsidP="00460422">
      <w:pPr>
        <w:spacing w:after="0" w:line="240" w:lineRule="auto"/>
        <w:jc w:val="both"/>
        <w:rPr>
          <w:rFonts w:ascii="Arial" w:hAnsi="Arial" w:cs="Arial"/>
          <w:sz w:val="24"/>
        </w:rPr>
      </w:pPr>
    </w:p>
    <w:p w:rsidR="00460422" w:rsidRPr="00460422" w:rsidRDefault="00460422" w:rsidP="00460422">
      <w:pPr>
        <w:spacing w:after="0" w:line="240" w:lineRule="auto"/>
        <w:jc w:val="both"/>
        <w:rPr>
          <w:rFonts w:ascii="Arial" w:hAnsi="Arial" w:cs="Arial"/>
          <w:sz w:val="24"/>
        </w:rPr>
      </w:pPr>
      <w:r w:rsidRPr="00460422">
        <w:rPr>
          <w:rFonts w:ascii="Arial" w:hAnsi="Arial" w:cs="Arial"/>
          <w:sz w:val="24"/>
        </w:rPr>
        <w:t>A la muerte de León XIII, los cardenales se reunieron en cónclave y, después de varias votaciones, Giuseppe Sarto fue elegido Papa el 4 de Agosto.</w:t>
      </w:r>
    </w:p>
    <w:p w:rsidR="00460422" w:rsidRPr="00460422" w:rsidRDefault="00460422" w:rsidP="00460422">
      <w:pPr>
        <w:spacing w:after="0" w:line="240" w:lineRule="auto"/>
        <w:jc w:val="both"/>
        <w:rPr>
          <w:rFonts w:ascii="Arial" w:hAnsi="Arial" w:cs="Arial"/>
          <w:sz w:val="24"/>
        </w:rPr>
      </w:pPr>
    </w:p>
    <w:p w:rsidR="00460422" w:rsidRPr="00460422" w:rsidRDefault="00460422" w:rsidP="00460422">
      <w:pPr>
        <w:spacing w:after="0" w:line="240" w:lineRule="auto"/>
        <w:jc w:val="both"/>
        <w:rPr>
          <w:rFonts w:ascii="Arial" w:hAnsi="Arial" w:cs="Arial"/>
          <w:sz w:val="24"/>
        </w:rPr>
      </w:pPr>
      <w:r w:rsidRPr="00460422">
        <w:rPr>
          <w:rFonts w:ascii="Arial" w:hAnsi="Arial" w:cs="Arial"/>
          <w:sz w:val="24"/>
        </w:rPr>
        <w:t>Su mayor atención giró siempre sobre la defensa de los intereses de la Iglesia. Pero ante todo, sus esfuerzos también se dirigieron a promover la piedad entre los fieles, y a fomentar la recepción frecuente de la Sagrada Comunión, y, si era posible, hacerla diariamente (</w:t>
      </w:r>
      <w:proofErr w:type="spellStart"/>
      <w:r w:rsidRPr="00460422">
        <w:rPr>
          <w:rFonts w:ascii="Arial" w:hAnsi="Arial" w:cs="Arial"/>
          <w:sz w:val="24"/>
        </w:rPr>
        <w:t>Decr</w:t>
      </w:r>
      <w:proofErr w:type="spellEnd"/>
      <w:r w:rsidRPr="00460422">
        <w:rPr>
          <w:rFonts w:ascii="Arial" w:hAnsi="Arial" w:cs="Arial"/>
          <w:sz w:val="24"/>
        </w:rPr>
        <w:t xml:space="preserve">. S. </w:t>
      </w:r>
      <w:proofErr w:type="spellStart"/>
      <w:r w:rsidRPr="00460422">
        <w:rPr>
          <w:rFonts w:ascii="Arial" w:hAnsi="Arial" w:cs="Arial"/>
          <w:sz w:val="24"/>
        </w:rPr>
        <w:t>Congr</w:t>
      </w:r>
      <w:proofErr w:type="spellEnd"/>
      <w:r w:rsidRPr="00460422">
        <w:rPr>
          <w:rFonts w:ascii="Arial" w:hAnsi="Arial" w:cs="Arial"/>
          <w:sz w:val="24"/>
        </w:rPr>
        <w:t xml:space="preserve">. </w:t>
      </w:r>
      <w:proofErr w:type="spellStart"/>
      <w:r w:rsidRPr="00460422">
        <w:rPr>
          <w:rFonts w:ascii="Arial" w:hAnsi="Arial" w:cs="Arial"/>
          <w:sz w:val="24"/>
        </w:rPr>
        <w:t>Concil</w:t>
      </w:r>
      <w:proofErr w:type="spellEnd"/>
      <w:r w:rsidRPr="00460422">
        <w:rPr>
          <w:rFonts w:ascii="Arial" w:hAnsi="Arial" w:cs="Arial"/>
          <w:sz w:val="24"/>
        </w:rPr>
        <w:t>., 20 de Diciembre, 1905), dispensando a los enfermos de la obligación de ayunar para poder recibir la Sagrada Comunión dos veces al mes, o incluso más (</w:t>
      </w:r>
      <w:proofErr w:type="spellStart"/>
      <w:r w:rsidRPr="00460422">
        <w:rPr>
          <w:rFonts w:ascii="Arial" w:hAnsi="Arial" w:cs="Arial"/>
          <w:sz w:val="24"/>
        </w:rPr>
        <w:t>Decr</w:t>
      </w:r>
      <w:proofErr w:type="spellEnd"/>
      <w:r w:rsidRPr="00460422">
        <w:rPr>
          <w:rFonts w:ascii="Arial" w:hAnsi="Arial" w:cs="Arial"/>
          <w:sz w:val="24"/>
        </w:rPr>
        <w:t xml:space="preserve">. S. </w:t>
      </w:r>
      <w:proofErr w:type="spellStart"/>
      <w:r w:rsidRPr="00460422">
        <w:rPr>
          <w:rFonts w:ascii="Arial" w:hAnsi="Arial" w:cs="Arial"/>
          <w:sz w:val="24"/>
        </w:rPr>
        <w:t>Congr</w:t>
      </w:r>
      <w:proofErr w:type="spellEnd"/>
      <w:r w:rsidRPr="00460422">
        <w:rPr>
          <w:rFonts w:ascii="Arial" w:hAnsi="Arial" w:cs="Arial"/>
          <w:sz w:val="24"/>
        </w:rPr>
        <w:t xml:space="preserve">. </w:t>
      </w:r>
      <w:proofErr w:type="spellStart"/>
      <w:r w:rsidRPr="00460422">
        <w:rPr>
          <w:rFonts w:ascii="Arial" w:hAnsi="Arial" w:cs="Arial"/>
          <w:sz w:val="24"/>
        </w:rPr>
        <w:t>Rit</w:t>
      </w:r>
      <w:proofErr w:type="spellEnd"/>
      <w:r w:rsidRPr="00460422">
        <w:rPr>
          <w:rFonts w:ascii="Arial" w:hAnsi="Arial" w:cs="Arial"/>
          <w:sz w:val="24"/>
        </w:rPr>
        <w:t>., 7 de Diciembre, 1906). Finalmente, mediante el Decreto “</w:t>
      </w:r>
      <w:proofErr w:type="spellStart"/>
      <w:r w:rsidRPr="00460422">
        <w:rPr>
          <w:rFonts w:ascii="Arial" w:hAnsi="Arial" w:cs="Arial"/>
          <w:sz w:val="24"/>
        </w:rPr>
        <w:t>Quam</w:t>
      </w:r>
      <w:proofErr w:type="spellEnd"/>
      <w:r w:rsidRPr="00460422">
        <w:rPr>
          <w:rFonts w:ascii="Arial" w:hAnsi="Arial" w:cs="Arial"/>
          <w:sz w:val="24"/>
        </w:rPr>
        <w:t xml:space="preserve"> </w:t>
      </w:r>
      <w:proofErr w:type="spellStart"/>
      <w:r w:rsidRPr="00460422">
        <w:rPr>
          <w:rFonts w:ascii="Arial" w:hAnsi="Arial" w:cs="Arial"/>
          <w:sz w:val="24"/>
        </w:rPr>
        <w:t>Singulari</w:t>
      </w:r>
      <w:proofErr w:type="spellEnd"/>
      <w:r w:rsidRPr="00460422">
        <w:rPr>
          <w:rFonts w:ascii="Arial" w:hAnsi="Arial" w:cs="Arial"/>
          <w:sz w:val="24"/>
        </w:rPr>
        <w:t>” (15 de Agosto, 1910), recomendó que la Primera Comunión en los niños no se demorara demasiado tiempo después de que alcanzaran la edad de la discreción. Fue por deseo suyo que el Congreso Eucarístico de 1905 se celebró en Roma, mientras que aumentó la solemnidad de los congresos Eucarísticos posteriores mediante el envío de cardenales legados.</w:t>
      </w:r>
    </w:p>
    <w:p w:rsidR="00460422" w:rsidRPr="00460422" w:rsidRDefault="00460422" w:rsidP="00460422">
      <w:pPr>
        <w:spacing w:after="0" w:line="240" w:lineRule="auto"/>
        <w:jc w:val="both"/>
        <w:rPr>
          <w:rFonts w:ascii="Arial" w:hAnsi="Arial" w:cs="Arial"/>
          <w:sz w:val="24"/>
        </w:rPr>
      </w:pPr>
    </w:p>
    <w:p w:rsidR="00460422" w:rsidRPr="00460422" w:rsidRDefault="00460422" w:rsidP="00460422">
      <w:pPr>
        <w:spacing w:after="0" w:line="240" w:lineRule="auto"/>
        <w:jc w:val="both"/>
        <w:rPr>
          <w:rFonts w:ascii="Arial" w:hAnsi="Arial" w:cs="Arial"/>
          <w:sz w:val="24"/>
        </w:rPr>
      </w:pPr>
      <w:r w:rsidRPr="00460422">
        <w:rPr>
          <w:rFonts w:ascii="Arial" w:hAnsi="Arial" w:cs="Arial"/>
          <w:sz w:val="24"/>
        </w:rPr>
        <w:t xml:space="preserve">El quincuagésimo aniversario de la proclamación del dogma de la Inmaculada Concepción fue una ocasión que supo aprovechar para impulsar la devoción a María (Encíclica “Ad </w:t>
      </w:r>
      <w:proofErr w:type="spellStart"/>
      <w:r w:rsidRPr="00460422">
        <w:rPr>
          <w:rFonts w:ascii="Arial" w:hAnsi="Arial" w:cs="Arial"/>
          <w:sz w:val="24"/>
        </w:rPr>
        <w:t>illum</w:t>
      </w:r>
      <w:proofErr w:type="spellEnd"/>
      <w:r w:rsidRPr="00460422">
        <w:rPr>
          <w:rFonts w:ascii="Arial" w:hAnsi="Arial" w:cs="Arial"/>
          <w:sz w:val="24"/>
        </w:rPr>
        <w:t xml:space="preserve"> diem”, Febrero 2,1904); y el Congreso Mariano junto con la coronación de la imagen de la Inmaculada Concepción en el coro de la Basílica de San Pedro fueron una digna culminación de la solemnidad. </w:t>
      </w:r>
      <w:r w:rsidRPr="00460422">
        <w:rPr>
          <w:rFonts w:ascii="Arial" w:hAnsi="Arial" w:cs="Arial"/>
          <w:sz w:val="24"/>
        </w:rPr>
        <w:lastRenderedPageBreak/>
        <w:t xml:space="preserve">Giuseppe Sarto fue siempre un promotor de la música sacra; como Papa publicó, el 22 de Noviembre de 1903, un Motu Proprio sobre música sacra en las iglesias, y, al mismo tiempo, ordenó que el auténtico Canto Gregoriano se utilizara en todas partes, mientras dispuso que los libros de cantos se imprimieran con el tipo de fuente del Vaticano bajo la supervisión de una comisión especial. </w:t>
      </w:r>
    </w:p>
    <w:p w:rsidR="00460422" w:rsidRPr="00460422" w:rsidRDefault="00460422" w:rsidP="00460422">
      <w:pPr>
        <w:spacing w:after="0" w:line="240" w:lineRule="auto"/>
        <w:jc w:val="both"/>
        <w:rPr>
          <w:rFonts w:ascii="Arial" w:hAnsi="Arial" w:cs="Arial"/>
          <w:sz w:val="24"/>
        </w:rPr>
      </w:pPr>
    </w:p>
    <w:p w:rsidR="00DF6B3D" w:rsidRDefault="00460422" w:rsidP="00460422">
      <w:pPr>
        <w:spacing w:after="0" w:line="240" w:lineRule="auto"/>
        <w:jc w:val="both"/>
        <w:rPr>
          <w:rFonts w:ascii="Arial" w:hAnsi="Arial" w:cs="Arial"/>
          <w:sz w:val="24"/>
        </w:rPr>
      </w:pPr>
      <w:r w:rsidRPr="00460422">
        <w:rPr>
          <w:rFonts w:ascii="Arial" w:hAnsi="Arial" w:cs="Arial"/>
          <w:sz w:val="24"/>
        </w:rPr>
        <w:t xml:space="preserve">En la Encíclica “Acerbo </w:t>
      </w:r>
      <w:proofErr w:type="spellStart"/>
      <w:r w:rsidRPr="00460422">
        <w:rPr>
          <w:rFonts w:ascii="Arial" w:hAnsi="Arial" w:cs="Arial"/>
          <w:sz w:val="24"/>
        </w:rPr>
        <w:t>nimis</w:t>
      </w:r>
      <w:proofErr w:type="spellEnd"/>
      <w:r w:rsidRPr="00460422">
        <w:rPr>
          <w:rFonts w:ascii="Arial" w:hAnsi="Arial" w:cs="Arial"/>
          <w:sz w:val="24"/>
        </w:rPr>
        <w:t>” (Abril 15, 1905), planteó la necesidad de que la instrucción catequética no se limitara a los niños, sino que también fuera dirigida hacia los adultos, dando para ello reglas detalladas, especialmente en lo referente a escuelas adecuadas para la impartición de la instrucción religiosa a los estudiantes de escuelas públicas, y aun de universidades. Promovió la publicación de un nuevo catecismo para la Diócesis de Roma.</w:t>
      </w:r>
    </w:p>
    <w:p w:rsidR="00460422" w:rsidRDefault="00460422" w:rsidP="00460422">
      <w:pPr>
        <w:spacing w:after="0" w:line="240" w:lineRule="auto"/>
        <w:jc w:val="both"/>
        <w:rPr>
          <w:rFonts w:ascii="Arial" w:hAnsi="Arial" w:cs="Arial"/>
          <w:sz w:val="24"/>
        </w:rPr>
      </w:pPr>
    </w:p>
    <w:p w:rsidR="00460422" w:rsidRDefault="00460422" w:rsidP="00460422">
      <w:pPr>
        <w:pStyle w:val="NormalWeb"/>
        <w:spacing w:before="0" w:beforeAutospacing="0" w:after="0" w:afterAutospacing="0"/>
        <w:jc w:val="both"/>
        <w:rPr>
          <w:rFonts w:ascii="Arial" w:hAnsi="Arial" w:cs="Arial"/>
          <w:szCs w:val="23"/>
        </w:rPr>
      </w:pPr>
      <w:r w:rsidRPr="00460422">
        <w:rPr>
          <w:rFonts w:ascii="Arial" w:hAnsi="Arial" w:cs="Arial"/>
          <w:szCs w:val="23"/>
        </w:rPr>
        <w:t>El papa Pío X fue importante dentro de la iglesia católica porque realizó muchos cambios importantes dentro de la misma. Fue un papa que solía invitar a los sacerdotes a cenar en el Vaticano y que se escabullía del Vaticano para </w:t>
      </w:r>
      <w:r w:rsidRPr="00460422">
        <w:rPr>
          <w:rStyle w:val="Textoennegrita"/>
          <w:rFonts w:ascii="Arial" w:hAnsi="Arial" w:cs="Arial"/>
          <w:szCs w:val="23"/>
        </w:rPr>
        <w:t>visitar a los enfermos</w:t>
      </w:r>
      <w:r w:rsidRPr="00460422">
        <w:rPr>
          <w:rFonts w:ascii="Arial" w:hAnsi="Arial" w:cs="Arial"/>
          <w:szCs w:val="23"/>
        </w:rPr>
        <w:t> en los hospitales locales. Logró mejorar la </w:t>
      </w:r>
      <w:r w:rsidRPr="00460422">
        <w:rPr>
          <w:rStyle w:val="Textoennegrita"/>
          <w:rFonts w:ascii="Arial" w:hAnsi="Arial" w:cs="Arial"/>
          <w:szCs w:val="23"/>
        </w:rPr>
        <w:t>formación sacerdotal</w:t>
      </w:r>
      <w:r w:rsidRPr="00460422">
        <w:rPr>
          <w:rFonts w:ascii="Arial" w:hAnsi="Arial" w:cs="Arial"/>
          <w:szCs w:val="23"/>
        </w:rPr>
        <w:t>, instituyó </w:t>
      </w:r>
      <w:r w:rsidRPr="00460422">
        <w:rPr>
          <w:rStyle w:val="Textoennegrita"/>
          <w:rFonts w:ascii="Arial" w:hAnsi="Arial" w:cs="Arial"/>
          <w:szCs w:val="23"/>
        </w:rPr>
        <w:t>mejores liturgias</w:t>
      </w:r>
      <w:r w:rsidRPr="00460422">
        <w:rPr>
          <w:rFonts w:ascii="Arial" w:hAnsi="Arial" w:cs="Arial"/>
          <w:szCs w:val="23"/>
        </w:rPr>
        <w:t> y </w:t>
      </w:r>
      <w:r w:rsidRPr="00460422">
        <w:rPr>
          <w:rStyle w:val="Textoennegrita"/>
          <w:rFonts w:ascii="Arial" w:hAnsi="Arial" w:cs="Arial"/>
          <w:szCs w:val="23"/>
        </w:rPr>
        <w:t>música</w:t>
      </w:r>
      <w:r w:rsidRPr="00460422">
        <w:rPr>
          <w:rFonts w:ascii="Arial" w:hAnsi="Arial" w:cs="Arial"/>
          <w:szCs w:val="23"/>
        </w:rPr>
        <w:t> dentro de la iglesia e insistió en la calidad que debía de tener la </w:t>
      </w:r>
      <w:r w:rsidRPr="00460422">
        <w:rPr>
          <w:rStyle w:val="Textoennegrita"/>
          <w:rFonts w:ascii="Arial" w:hAnsi="Arial" w:cs="Arial"/>
          <w:szCs w:val="23"/>
        </w:rPr>
        <w:t>predicación</w:t>
      </w:r>
      <w:r w:rsidRPr="00460422">
        <w:rPr>
          <w:rFonts w:ascii="Arial" w:hAnsi="Arial" w:cs="Arial"/>
          <w:szCs w:val="23"/>
        </w:rPr>
        <w:t> de sus sacerdotes y obispos.</w:t>
      </w:r>
      <w:r w:rsidR="00E3059B">
        <w:rPr>
          <w:rFonts w:ascii="Arial" w:hAnsi="Arial" w:cs="Arial"/>
          <w:szCs w:val="23"/>
        </w:rPr>
        <w:t xml:space="preserve"> </w:t>
      </w:r>
      <w:r w:rsidRPr="00460422">
        <w:rPr>
          <w:rFonts w:ascii="Arial" w:hAnsi="Arial" w:cs="Arial"/>
          <w:szCs w:val="23"/>
        </w:rPr>
        <w:t>Fue quien pudo </w:t>
      </w:r>
      <w:r w:rsidRPr="00460422">
        <w:rPr>
          <w:rStyle w:val="Textoennegrita"/>
          <w:rFonts w:ascii="Arial" w:hAnsi="Arial" w:cs="Arial"/>
          <w:szCs w:val="23"/>
        </w:rPr>
        <w:t>modernizar</w:t>
      </w:r>
      <w:r w:rsidRPr="00460422">
        <w:rPr>
          <w:rFonts w:ascii="Arial" w:hAnsi="Arial" w:cs="Arial"/>
          <w:szCs w:val="23"/>
        </w:rPr>
        <w:t> el </w:t>
      </w:r>
      <w:r w:rsidRPr="00460422">
        <w:rPr>
          <w:rStyle w:val="Textoennegrita"/>
          <w:rFonts w:ascii="Arial" w:hAnsi="Arial" w:cs="Arial"/>
          <w:szCs w:val="23"/>
        </w:rPr>
        <w:t>Derecho Canónico</w:t>
      </w:r>
      <w:r w:rsidR="00E3059B">
        <w:rPr>
          <w:rFonts w:ascii="Arial" w:hAnsi="Arial" w:cs="Arial"/>
          <w:szCs w:val="23"/>
        </w:rPr>
        <w:t>.</w:t>
      </w:r>
    </w:p>
    <w:p w:rsidR="00E3059B" w:rsidRPr="00460422" w:rsidRDefault="00E3059B" w:rsidP="00460422">
      <w:pPr>
        <w:pStyle w:val="NormalWeb"/>
        <w:spacing w:before="0" w:beforeAutospacing="0" w:after="0" w:afterAutospacing="0"/>
        <w:jc w:val="both"/>
        <w:rPr>
          <w:rFonts w:ascii="Arial" w:hAnsi="Arial" w:cs="Arial"/>
          <w:szCs w:val="23"/>
        </w:rPr>
      </w:pPr>
    </w:p>
    <w:p w:rsidR="00460422" w:rsidRDefault="00E3059B" w:rsidP="00460422">
      <w:pPr>
        <w:spacing w:after="0" w:line="240" w:lineRule="auto"/>
        <w:jc w:val="both"/>
        <w:rPr>
          <w:rFonts w:ascii="Arial" w:hAnsi="Arial" w:cs="Arial"/>
          <w:sz w:val="24"/>
          <w:szCs w:val="24"/>
        </w:rPr>
      </w:pPr>
      <w:hyperlink r:id="rId7" w:history="1">
        <w:r w:rsidRPr="00E3059B">
          <w:rPr>
            <w:rStyle w:val="Hipervnculo"/>
            <w:rFonts w:ascii="Arial" w:hAnsi="Arial" w:cs="Arial"/>
            <w:sz w:val="24"/>
            <w:szCs w:val="24"/>
          </w:rPr>
          <w:t>El papa Pío X es considerado como el patrono y modelo de los catequistas</w:t>
        </w:r>
      </w:hyperlink>
      <w:r w:rsidRPr="00E3059B">
        <w:rPr>
          <w:rFonts w:ascii="Arial" w:hAnsi="Arial" w:cs="Arial"/>
          <w:sz w:val="24"/>
          <w:szCs w:val="24"/>
        </w:rPr>
        <w:t xml:space="preserve"> y su día se celebra todos los días 21 de agosto, día que también es el día del catequista pues fue él quien le dio mayor importancia al mismo e hizo posible que los niños pudieran estar más cerca de los sacramentos desde edades más tempranas</w:t>
      </w:r>
      <w:r>
        <w:rPr>
          <w:rFonts w:ascii="Arial" w:hAnsi="Arial" w:cs="Arial"/>
          <w:sz w:val="24"/>
          <w:szCs w:val="24"/>
        </w:rPr>
        <w:t>.</w:t>
      </w:r>
    </w:p>
    <w:p w:rsidR="00E3059B" w:rsidRDefault="00E3059B" w:rsidP="00460422">
      <w:pPr>
        <w:spacing w:after="0" w:line="240" w:lineRule="auto"/>
        <w:jc w:val="both"/>
        <w:rPr>
          <w:rFonts w:ascii="Arial" w:hAnsi="Arial" w:cs="Arial"/>
          <w:sz w:val="24"/>
          <w:szCs w:val="24"/>
        </w:rPr>
      </w:pPr>
    </w:p>
    <w:p w:rsidR="00E3059B" w:rsidRPr="00460422" w:rsidRDefault="00E3059B" w:rsidP="00460422">
      <w:pPr>
        <w:spacing w:after="0" w:line="240" w:lineRule="auto"/>
        <w:jc w:val="both"/>
        <w:rPr>
          <w:rFonts w:ascii="Arial" w:hAnsi="Arial" w:cs="Arial"/>
          <w:sz w:val="24"/>
          <w:szCs w:val="24"/>
        </w:rPr>
      </w:pPr>
      <w:r w:rsidRPr="00E3059B">
        <w:rPr>
          <w:rFonts w:ascii="Arial" w:hAnsi="Arial" w:cs="Arial"/>
          <w:sz w:val="24"/>
          <w:szCs w:val="24"/>
        </w:rPr>
        <w:t>Su historia y gran labor dentro de la iglesia católica continúan siendo importantes hoy en día. La película “</w:t>
      </w:r>
      <w:proofErr w:type="spellStart"/>
      <w:r w:rsidRPr="00E3059B">
        <w:rPr>
          <w:rFonts w:ascii="Arial" w:hAnsi="Arial" w:cs="Arial"/>
          <w:sz w:val="24"/>
          <w:szCs w:val="24"/>
        </w:rPr>
        <w:t>Gli</w:t>
      </w:r>
      <w:proofErr w:type="spellEnd"/>
      <w:r w:rsidRPr="00E3059B">
        <w:rPr>
          <w:rFonts w:ascii="Arial" w:hAnsi="Arial" w:cs="Arial"/>
          <w:sz w:val="24"/>
          <w:szCs w:val="24"/>
        </w:rPr>
        <w:t xml:space="preserve"> </w:t>
      </w:r>
      <w:proofErr w:type="spellStart"/>
      <w:r w:rsidRPr="00E3059B">
        <w:rPr>
          <w:rFonts w:ascii="Arial" w:hAnsi="Arial" w:cs="Arial"/>
          <w:sz w:val="24"/>
          <w:szCs w:val="24"/>
        </w:rPr>
        <w:t>uomini</w:t>
      </w:r>
      <w:proofErr w:type="spellEnd"/>
      <w:r w:rsidRPr="00E3059B">
        <w:rPr>
          <w:rFonts w:ascii="Arial" w:hAnsi="Arial" w:cs="Arial"/>
          <w:sz w:val="24"/>
          <w:szCs w:val="24"/>
        </w:rPr>
        <w:t xml:space="preserve"> non </w:t>
      </w:r>
      <w:proofErr w:type="spellStart"/>
      <w:r w:rsidRPr="00E3059B">
        <w:rPr>
          <w:rFonts w:ascii="Arial" w:hAnsi="Arial" w:cs="Arial"/>
          <w:sz w:val="24"/>
          <w:szCs w:val="24"/>
        </w:rPr>
        <w:t>guardano</w:t>
      </w:r>
      <w:proofErr w:type="spellEnd"/>
      <w:r w:rsidRPr="00E3059B">
        <w:rPr>
          <w:rFonts w:ascii="Arial" w:hAnsi="Arial" w:cs="Arial"/>
          <w:sz w:val="24"/>
          <w:szCs w:val="24"/>
        </w:rPr>
        <w:t xml:space="preserve"> </w:t>
      </w:r>
      <w:proofErr w:type="spellStart"/>
      <w:r w:rsidRPr="00E3059B">
        <w:rPr>
          <w:rFonts w:ascii="Arial" w:hAnsi="Arial" w:cs="Arial"/>
          <w:sz w:val="24"/>
          <w:szCs w:val="24"/>
        </w:rPr>
        <w:t>il</w:t>
      </w:r>
      <w:proofErr w:type="spellEnd"/>
      <w:r w:rsidRPr="00E3059B">
        <w:rPr>
          <w:rFonts w:ascii="Arial" w:hAnsi="Arial" w:cs="Arial"/>
          <w:sz w:val="24"/>
          <w:szCs w:val="24"/>
        </w:rPr>
        <w:t xml:space="preserve"> cielo” o “Los hombres no miran al cielo” en español, narra la vida del papa desde el momento de su elección hasta su muerte y muestra la increíble labor de su pontificado incluyendo la gran preocupación que sentía ante una guerra inminente que había visto </w:t>
      </w:r>
      <w:bookmarkStart w:id="0" w:name="_GoBack"/>
      <w:bookmarkEnd w:id="0"/>
      <w:r w:rsidRPr="00E3059B">
        <w:rPr>
          <w:rFonts w:ascii="Arial" w:hAnsi="Arial" w:cs="Arial"/>
          <w:sz w:val="24"/>
          <w:szCs w:val="24"/>
        </w:rPr>
        <w:t>en su visión</w:t>
      </w:r>
      <w:r>
        <w:rPr>
          <w:rFonts w:ascii="Arial" w:hAnsi="Arial" w:cs="Arial"/>
          <w:sz w:val="24"/>
          <w:szCs w:val="24"/>
        </w:rPr>
        <w:t>.</w:t>
      </w:r>
    </w:p>
    <w:sectPr w:rsidR="00E3059B" w:rsidRPr="004604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422"/>
    <w:rsid w:val="00460422"/>
    <w:rsid w:val="004F3290"/>
    <w:rsid w:val="00DF6B3D"/>
    <w:rsid w:val="00E305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460422"/>
    <w:rPr>
      <w:b/>
      <w:bCs/>
    </w:rPr>
  </w:style>
  <w:style w:type="character" w:styleId="Hipervnculo">
    <w:name w:val="Hyperlink"/>
    <w:basedOn w:val="Fuentedeprrafopredeter"/>
    <w:uiPriority w:val="99"/>
    <w:unhideWhenUsed/>
    <w:rsid w:val="00460422"/>
    <w:rPr>
      <w:color w:val="0000FF"/>
      <w:u w:val="single"/>
    </w:rPr>
  </w:style>
  <w:style w:type="paragraph" w:styleId="NormalWeb">
    <w:name w:val="Normal (Web)"/>
    <w:basedOn w:val="Normal"/>
    <w:uiPriority w:val="99"/>
    <w:semiHidden/>
    <w:unhideWhenUsed/>
    <w:rsid w:val="0046042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E305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305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460422"/>
    <w:rPr>
      <w:b/>
      <w:bCs/>
    </w:rPr>
  </w:style>
  <w:style w:type="character" w:styleId="Hipervnculo">
    <w:name w:val="Hyperlink"/>
    <w:basedOn w:val="Fuentedeprrafopredeter"/>
    <w:uiPriority w:val="99"/>
    <w:unhideWhenUsed/>
    <w:rsid w:val="00460422"/>
    <w:rPr>
      <w:color w:val="0000FF"/>
      <w:u w:val="single"/>
    </w:rPr>
  </w:style>
  <w:style w:type="paragraph" w:styleId="NormalWeb">
    <w:name w:val="Normal (Web)"/>
    <w:basedOn w:val="Normal"/>
    <w:uiPriority w:val="99"/>
    <w:semiHidden/>
    <w:unhideWhenUsed/>
    <w:rsid w:val="0046042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E305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305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59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uston96.com/pio-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ec.aciprensa.com/wiki/Papa_San_P%C3%ADo_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756</Words>
  <Characters>4161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2023-08-08T08:44:00Z</cp:lastPrinted>
  <dcterms:created xsi:type="dcterms:W3CDTF">2023-08-08T08:26:00Z</dcterms:created>
  <dcterms:modified xsi:type="dcterms:W3CDTF">2023-08-08T08:45:00Z</dcterms:modified>
</cp:coreProperties>
</file>